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7"/>
          <w:szCs w:val="27"/>
          <w:color w:val="000000"/>
        </w:rPr>
        <w:t>部門年度計畫提報系統操作說明</w:t>
      </w:r>
    </w:p>
    <w:p>
      <w:pPr>
        <w:pStyle w:val="Para3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一、進入系統後由「系統選單」點選「年度計畫管理」→「部門年度計畫提報」→「新增」</w:t>
      </w:r>
    </w:p>
    <w:p>
      <w:pPr>
        <w:pStyle w:val="Para5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24"/>
          <w:szCs w:val="24"/>
          <w:color w:val="0000FF"/>
        </w:rPr>
        <w:t>主單</w:t>
      </w:r>
      <w:r>
        <w:rPr>
          <w:rStyle w:val="Character2"/>
          <w:sz w:val="24"/>
          <w:szCs w:val="24"/>
          <w:color w:val="000000"/>
        </w:rPr>
        <w:t>，主單計畫名稱及內容填寫完畢後</w:t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→確認</w:t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→「新增」</w:t>
      </w:r>
      <w:r>
        <w:rPr>
          <w:rStyle w:val="Character3"/>
          <w:sz w:val="24"/>
          <w:szCs w:val="24"/>
          <w:color w:val="0000FF"/>
        </w:rPr>
        <w:t>明細</w:t>
      </w:r>
      <w:r>
        <w:rPr>
          <w:rStyle w:val="Character2"/>
          <w:sz w:val="24"/>
          <w:szCs w:val="24"/>
          <w:color w:val="000000"/>
        </w:rPr>
        <w:t xml:space="preserve"/>
      </w:r>
      <w:r>
        <w:rPr>
          <w:rStyle w:val="Character2"/>
          <w:sz w:val="24"/>
          <w:szCs w:val="24"/>
          <w:color w:val="000000"/>
        </w:rPr>
        <w:t>。</w:t>
      </w:r>
    </w:p>
    <w:p>
      <w:pPr>
        <w:pStyle w:val="Para6"/>
      </w:pPr>
    </w:p>
    <w:p>
      <w:pPr>
        <w:pStyle w:val="Para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24"/>
          <w:szCs w:val="24"/>
          <w:color w:val="000000"/>
        </w:rPr>
        <w:t>＊</w:t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各處室可依工作項目或</w:t>
      </w:r>
      <w:r>
        <w:rPr>
          <w:rStyle w:val="Character5"/>
          <w:sz w:val="24"/>
          <w:szCs w:val="24"/>
          <w:color w:val="000000"/>
        </w:rPr>
        <w:t xml:space="preserve"/>
      </w:r>
      <w:r>
        <w:rPr>
          <w:rStyle w:val="Character5"/>
          <w:sz w:val="24"/>
          <w:szCs w:val="24"/>
          <w:color w:val="000000"/>
        </w:rPr>
        <w:t xml:space="preserve"> xx</w:t>
      </w:r>
      <w:r>
        <w:rPr>
          <w:rStyle w:val="Character2"/>
          <w:sz w:val="24"/>
          <w:szCs w:val="24"/>
          <w:color w:val="000000"/>
        </w:rPr>
        <w:t xml:space="preserve"/>
      </w:r>
      <w:r>
        <w:rPr>
          <w:rStyle w:val="Character2"/>
          <w:sz w:val="24"/>
          <w:szCs w:val="24"/>
          <w:color w:val="000000"/>
        </w:rPr>
        <w:t xml:space="preserve"> 組（中心）所分配預算由「主單」區分不同計畫編號管理。</w:t>
      </w:r>
    </w:p>
    <w:p>
      <w:pPr>
        <w:pStyle w:val="Para7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24"/>
          <w:szCs w:val="24"/>
          <w:color w:val="000000"/>
        </w:rPr>
        <w:t>＊</w:t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一個計畫一個主單，計畫內各項經費由「明細」區分管理，如實習耗材、專題耗材、</w:t>
      </w:r>
    </w:p>
    <w:p>
      <w:pPr>
        <w:pStyle w:val="Para5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辦公耗材、文具用品、電話費、郵資、會議費等，</w:t>
      </w:r>
      <w:r>
        <w:rPr>
          <w:rStyle w:val="Character6"/>
          <w:sz w:val="24"/>
          <w:szCs w:val="24"/>
          <w:color w:val="FF0000"/>
        </w:rPr>
        <w:t>請務必依需求審慎規劃，流用須經</w:t>
      </w:r>
    </w:p>
    <w:p>
      <w:pPr>
        <w:pStyle w:val="Para5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"/>
          <w:sz w:val="24"/>
          <w:szCs w:val="24"/>
          <w:color w:val="FF0000"/>
        </w:rPr>
        <w:t>核准後始能變更續用</w:t>
      </w:r>
      <w:r>
        <w:rPr>
          <w:rStyle w:val="Character2"/>
          <w:sz w:val="24"/>
          <w:szCs w:val="24"/>
          <w:color w:val="000000"/>
        </w:rPr>
        <w:t>。</w:t>
      </w:r>
    </w:p>
    <w:p>
      <w:pPr>
        <w:pStyle w:val="Para3"/>
      </w:pPr>
    </w:p>
    <w:p>
      <w:pPr>
        <w:pStyle w:val="Para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二、預算類別</w:t>
      </w:r>
      <w:r>
        <w:rPr>
          <w:rStyle w:val="Character5"/>
          <w:sz w:val="24"/>
          <w:szCs w:val="24"/>
          <w:color w:val="000000"/>
        </w:rPr>
        <w:t>/</w:t>
      </w:r>
      <w:r>
        <w:rPr>
          <w:rStyle w:val="Character2"/>
          <w:sz w:val="24"/>
          <w:szCs w:val="24"/>
          <w:color w:val="000000"/>
        </w:rPr>
        <w:t>會計科目</w:t>
      </w:r>
    </w:p>
    <w:p>
      <w:pPr>
        <w:pStyle w:val="Para9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（一）教學單位、通識教育中心、體育教育中心、語言中心、玻璃創意中心、綠能產業中</w:t>
      </w:r>
    </w:p>
    <w:p>
      <w:pPr>
        <w:pStyle w:val="Para10"/>
      </w:pPr>
    </w:p>
    <w:p>
      <w:pPr>
        <w:pStyle w:val="Para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心、</w:t>
      </w:r>
      <w:r>
        <w:rPr>
          <w:rStyle w:val="Character7"/>
          <w:sz w:val="24"/>
          <w:szCs w:val="24"/>
          <w:color w:val="800000"/>
        </w:rPr>
        <w:t>教務處、學務處及圖資處</w:t>
      </w:r>
      <w:r>
        <w:rPr>
          <w:rStyle w:val="Character2"/>
          <w:sz w:val="24"/>
          <w:szCs w:val="24"/>
          <w:color w:val="000000"/>
        </w:rPr>
        <w:t>：請點選</w:t>
      </w:r>
      <w:r>
        <w:rPr>
          <w:rStyle w:val="Character8"/>
          <w:sz w:val="24"/>
          <w:szCs w:val="24"/>
          <w:color w:val="FF00FF"/>
        </w:rPr>
        <w:t xml:space="preserve"/>
      </w:r>
      <w:r>
        <w:rPr>
          <w:rStyle w:val="Character8"/>
          <w:sz w:val="24"/>
          <w:szCs w:val="24"/>
          <w:color w:val="FF00FF"/>
        </w:rPr>
        <w:t xml:space="preserve"> 513203</w:t>
      </w:r>
      <w:r>
        <w:rPr>
          <w:rStyle w:val="Character9"/>
          <w:sz w:val="24"/>
          <w:szCs w:val="24"/>
          <w:color w:val="FF00FF"/>
        </w:rPr>
        <w:t xml:space="preserve"/>
      </w:r>
      <w:r>
        <w:rPr>
          <w:rStyle w:val="Character9"/>
          <w:sz w:val="24"/>
          <w:szCs w:val="24"/>
          <w:color w:val="FF00FF"/>
        </w:rPr>
        <w:t xml:space="preserve"> 實習材料</w:t>
      </w:r>
      <w:r>
        <w:rPr>
          <w:rStyle w:val="Character2"/>
          <w:sz w:val="24"/>
          <w:szCs w:val="24"/>
          <w:color w:val="000000"/>
        </w:rPr>
        <w:t>、</w:t>
      </w:r>
      <w:r>
        <w:rPr>
          <w:rStyle w:val="Character10"/>
          <w:sz w:val="24"/>
          <w:szCs w:val="24"/>
          <w:color w:val="003300"/>
        </w:rPr>
        <w:t>513204</w:t>
      </w:r>
      <w:r>
        <w:rPr>
          <w:rStyle w:val="Character11"/>
          <w:sz w:val="24"/>
          <w:szCs w:val="24"/>
          <w:color w:val="003300"/>
        </w:rPr>
        <w:t xml:space="preserve"/>
      </w:r>
      <w:r>
        <w:rPr>
          <w:rStyle w:val="Character11"/>
          <w:sz w:val="24"/>
          <w:szCs w:val="24"/>
          <w:color w:val="003300"/>
        </w:rPr>
        <w:t xml:space="preserve"> 差旅費</w:t>
      </w:r>
      <w:r>
        <w:rPr>
          <w:rStyle w:val="Character2"/>
          <w:sz w:val="24"/>
          <w:szCs w:val="24"/>
          <w:color w:val="000000"/>
        </w:rPr>
        <w:t>、</w:t>
      </w:r>
      <w:r>
        <w:rPr>
          <w:rStyle w:val="Character8"/>
          <w:sz w:val="24"/>
          <w:szCs w:val="24"/>
          <w:color w:val="FF00FF"/>
        </w:rPr>
        <w:t>513205</w:t>
      </w:r>
    </w:p>
    <w:p>
      <w:pPr>
        <w:pStyle w:val="Para11"/>
      </w:pPr>
    </w:p>
    <w:p>
      <w:pPr>
        <w:pStyle w:val="Para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9"/>
          <w:sz w:val="24"/>
          <w:szCs w:val="24"/>
          <w:color w:val="FF00FF"/>
        </w:rPr>
        <w:t>業務費</w:t>
      </w:r>
      <w:r>
        <w:rPr>
          <w:rStyle w:val="Character2"/>
          <w:sz w:val="24"/>
          <w:szCs w:val="24"/>
          <w:color w:val="000000"/>
        </w:rPr>
        <w:t>、</w:t>
      </w:r>
      <w:r>
        <w:rPr>
          <w:rStyle w:val="Character10"/>
          <w:sz w:val="24"/>
          <w:szCs w:val="24"/>
          <w:color w:val="003300"/>
        </w:rPr>
        <w:t>513301</w:t>
      </w:r>
      <w:r>
        <w:rPr>
          <w:rStyle w:val="Character11"/>
          <w:sz w:val="24"/>
          <w:szCs w:val="24"/>
          <w:color w:val="003300"/>
        </w:rPr>
        <w:t xml:space="preserve"/>
      </w:r>
      <w:r>
        <w:rPr>
          <w:rStyle w:val="Character11"/>
          <w:sz w:val="24"/>
          <w:szCs w:val="24"/>
          <w:color w:val="003300"/>
        </w:rPr>
        <w:t xml:space="preserve"> 維護費</w:t>
      </w:r>
    </w:p>
    <w:p>
      <w:pPr>
        <w:pStyle w:val="Para12"/>
      </w:pPr>
    </w:p>
    <w:p>
      <w:pPr>
        <w:pStyle w:val="Para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（二）行政單位、客家文化中心、育成中心：請點選</w:t>
      </w:r>
      <w:r>
        <w:rPr>
          <w:rStyle w:val="Character8"/>
          <w:sz w:val="24"/>
          <w:szCs w:val="24"/>
          <w:color w:val="FF00FF"/>
        </w:rPr>
        <w:t xml:space="preserve"/>
      </w:r>
      <w:r>
        <w:rPr>
          <w:rStyle w:val="Character8"/>
          <w:sz w:val="24"/>
          <w:szCs w:val="24"/>
          <w:color w:val="FF00FF"/>
        </w:rPr>
        <w:t xml:space="preserve"> 512203</w:t>
      </w:r>
      <w:r>
        <w:rPr>
          <w:rStyle w:val="Character9"/>
          <w:sz w:val="24"/>
          <w:szCs w:val="24"/>
          <w:color w:val="FF00FF"/>
        </w:rPr>
        <w:t xml:space="preserve"/>
      </w:r>
      <w:r>
        <w:rPr>
          <w:rStyle w:val="Character9"/>
          <w:sz w:val="24"/>
          <w:szCs w:val="24"/>
          <w:color w:val="FF00FF"/>
        </w:rPr>
        <w:t xml:space="preserve"> 差旅費</w:t>
      </w:r>
      <w:r>
        <w:rPr>
          <w:rStyle w:val="Character2"/>
          <w:sz w:val="24"/>
          <w:szCs w:val="24"/>
          <w:color w:val="000000"/>
        </w:rPr>
        <w:t>、</w:t>
      </w:r>
      <w:r>
        <w:rPr>
          <w:rStyle w:val="Character10"/>
          <w:sz w:val="24"/>
          <w:szCs w:val="24"/>
          <w:color w:val="003300"/>
        </w:rPr>
        <w:t>512204</w:t>
      </w:r>
      <w:r>
        <w:rPr>
          <w:rStyle w:val="Character11"/>
          <w:sz w:val="24"/>
          <w:szCs w:val="24"/>
          <w:color w:val="003300"/>
        </w:rPr>
        <w:t xml:space="preserve"/>
      </w:r>
      <w:r>
        <w:rPr>
          <w:rStyle w:val="Character11"/>
          <w:sz w:val="24"/>
          <w:szCs w:val="24"/>
          <w:color w:val="003300"/>
        </w:rPr>
        <w:t xml:space="preserve"> 業務費</w:t>
      </w:r>
      <w:r>
        <w:rPr>
          <w:rStyle w:val="Character2"/>
          <w:sz w:val="24"/>
          <w:szCs w:val="24"/>
          <w:color w:val="000000"/>
        </w:rPr>
        <w:t>、</w:t>
      </w:r>
      <w:r>
        <w:rPr>
          <w:rStyle w:val="Character8"/>
          <w:sz w:val="24"/>
          <w:szCs w:val="24"/>
          <w:color w:val="FF00FF"/>
        </w:rPr>
        <w:t>512301</w:t>
      </w:r>
    </w:p>
    <w:p>
      <w:pPr>
        <w:pStyle w:val="Para13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9"/>
          <w:sz w:val="24"/>
          <w:szCs w:val="24"/>
          <w:color w:val="FF00FF"/>
        </w:rPr>
        <w:t>維護費</w:t>
      </w:r>
    </w:p>
    <w:p>
      <w:pPr>
        <w:pStyle w:val="Para6"/>
      </w:pPr>
    </w:p>
    <w:p>
      <w:pPr>
        <w:pStyle w:val="Para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（三）推廣教育中心：請點選編號</w:t>
      </w:r>
      <w:r>
        <w:rPr>
          <w:rStyle w:val="Character12"/>
          <w:sz w:val="24"/>
          <w:szCs w:val="24"/>
          <w:color w:val="0000FF"/>
        </w:rPr>
        <w:t xml:space="preserve"/>
      </w:r>
      <w:r>
        <w:rPr>
          <w:rStyle w:val="Character12"/>
          <w:sz w:val="24"/>
          <w:szCs w:val="24"/>
          <w:color w:val="0000FF"/>
        </w:rPr>
        <w:t xml:space="preserve"> 515###</w:t>
      </w:r>
    </w:p>
    <w:p>
      <w:pPr>
        <w:pStyle w:val="Para12"/>
      </w:pPr>
    </w:p>
    <w:p>
      <w:pPr>
        <w:pStyle w:val="Para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（四）海青班：請點選編號</w:t>
      </w:r>
      <w:r>
        <w:rPr>
          <w:rStyle w:val="Character13"/>
          <w:sz w:val="24"/>
          <w:szCs w:val="24"/>
          <w:color w:val="800080"/>
        </w:rPr>
        <w:t xml:space="preserve"/>
      </w:r>
      <w:r>
        <w:rPr>
          <w:rStyle w:val="Character13"/>
          <w:sz w:val="24"/>
          <w:szCs w:val="24"/>
          <w:color w:val="800080"/>
        </w:rPr>
        <w:t xml:space="preserve"> 517###</w:t>
      </w:r>
    </w:p>
    <w:p>
      <w:pPr>
        <w:pStyle w:val="Para8"/>
      </w:pPr>
    </w:p>
    <w:p>
      <w:pPr>
        <w:pStyle w:val="Para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（五）總務處：單位內使用經費請點選</w:t>
      </w:r>
      <w:r>
        <w:rPr>
          <w:rStyle w:val="Character8"/>
          <w:sz w:val="24"/>
          <w:szCs w:val="24"/>
          <w:color w:val="FF00FF"/>
        </w:rPr>
        <w:t xml:space="preserve"/>
      </w:r>
      <w:r>
        <w:rPr>
          <w:rStyle w:val="Character8"/>
          <w:sz w:val="24"/>
          <w:szCs w:val="24"/>
          <w:color w:val="FF00FF"/>
        </w:rPr>
        <w:t xml:space="preserve"> 512205</w:t>
      </w:r>
      <w:r>
        <w:rPr>
          <w:rStyle w:val="Character9"/>
          <w:sz w:val="24"/>
          <w:szCs w:val="24"/>
          <w:color w:val="FF00FF"/>
        </w:rPr>
        <w:t xml:space="preserve"/>
      </w:r>
      <w:r>
        <w:rPr>
          <w:rStyle w:val="Character9"/>
          <w:sz w:val="24"/>
          <w:szCs w:val="24"/>
          <w:color w:val="FF00FF"/>
        </w:rPr>
        <w:t xml:space="preserve"> 總務處業務費</w:t>
      </w:r>
      <w:r>
        <w:rPr>
          <w:rStyle w:val="Character2"/>
          <w:sz w:val="24"/>
          <w:szCs w:val="24"/>
          <w:color w:val="000000"/>
        </w:rPr>
        <w:t>，統籌全校性使用經費請點</w:t>
      </w:r>
    </w:p>
    <w:p>
      <w:pPr>
        <w:pStyle w:val="Para11"/>
      </w:pPr>
    </w:p>
    <w:p>
      <w:pPr>
        <w:pStyle w:val="Para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選</w:t>
      </w:r>
      <w:r>
        <w:rPr>
          <w:rStyle w:val="Character10"/>
          <w:sz w:val="24"/>
          <w:szCs w:val="24"/>
          <w:color w:val="003300"/>
        </w:rPr>
        <w:t xml:space="preserve"/>
      </w:r>
      <w:r>
        <w:rPr>
          <w:rStyle w:val="Character10"/>
          <w:sz w:val="24"/>
          <w:szCs w:val="24"/>
          <w:color w:val="003300"/>
        </w:rPr>
        <w:t xml:space="preserve"> 512204</w:t>
      </w:r>
      <w:r>
        <w:rPr>
          <w:rStyle w:val="Character11"/>
          <w:sz w:val="24"/>
          <w:szCs w:val="24"/>
          <w:color w:val="003300"/>
        </w:rPr>
        <w:t xml:space="preserve"/>
      </w:r>
      <w:r>
        <w:rPr>
          <w:rStyle w:val="Character11"/>
          <w:sz w:val="24"/>
          <w:szCs w:val="24"/>
          <w:color w:val="003300"/>
        </w:rPr>
        <w:t xml:space="preserve"> 業務費</w:t>
      </w:r>
      <w:r>
        <w:rPr>
          <w:rStyle w:val="Character2"/>
          <w:sz w:val="24"/>
          <w:szCs w:val="24"/>
          <w:color w:val="000000"/>
        </w:rPr>
        <w:t>、</w:t>
      </w:r>
      <w:r>
        <w:rPr>
          <w:rStyle w:val="Character8"/>
          <w:sz w:val="24"/>
          <w:szCs w:val="24"/>
          <w:color w:val="FF00FF"/>
        </w:rPr>
        <w:t>513201</w:t>
      </w:r>
      <w:r>
        <w:rPr>
          <w:rStyle w:val="Character9"/>
          <w:sz w:val="24"/>
          <w:szCs w:val="24"/>
          <w:color w:val="FF00FF"/>
        </w:rPr>
        <w:t xml:space="preserve"/>
      </w:r>
      <w:r>
        <w:rPr>
          <w:rStyle w:val="Character9"/>
          <w:sz w:val="24"/>
          <w:szCs w:val="24"/>
          <w:color w:val="FF00FF"/>
        </w:rPr>
        <w:t xml:space="preserve"> 水費</w:t>
      </w:r>
      <w:r>
        <w:rPr>
          <w:rStyle w:val="Character2"/>
          <w:sz w:val="24"/>
          <w:szCs w:val="24"/>
          <w:color w:val="000000"/>
        </w:rPr>
        <w:t>、</w:t>
      </w:r>
      <w:r>
        <w:rPr>
          <w:rStyle w:val="Character10"/>
          <w:sz w:val="24"/>
          <w:szCs w:val="24"/>
          <w:color w:val="003300"/>
        </w:rPr>
        <w:t>513202</w:t>
      </w:r>
      <w:r>
        <w:rPr>
          <w:rStyle w:val="Character11"/>
          <w:sz w:val="24"/>
          <w:szCs w:val="24"/>
          <w:color w:val="003300"/>
        </w:rPr>
        <w:t xml:space="preserve"/>
      </w:r>
      <w:r>
        <w:rPr>
          <w:rStyle w:val="Character11"/>
          <w:sz w:val="24"/>
          <w:szCs w:val="24"/>
          <w:color w:val="003300"/>
        </w:rPr>
        <w:t xml:space="preserve"> 電費</w:t>
      </w:r>
      <w:r>
        <w:rPr>
          <w:rStyle w:val="Character2"/>
          <w:sz w:val="24"/>
          <w:szCs w:val="24"/>
          <w:color w:val="000000"/>
        </w:rPr>
        <w:t>、</w:t>
      </w:r>
      <w:r>
        <w:rPr>
          <w:rStyle w:val="Character12"/>
          <w:sz w:val="24"/>
          <w:szCs w:val="24"/>
          <w:color w:val="0000FF"/>
        </w:rPr>
        <w:t>51A9</w:t>
      </w:r>
      <w:r>
        <w:rPr>
          <w:rStyle w:val="Character3"/>
          <w:sz w:val="24"/>
          <w:szCs w:val="24"/>
          <w:color w:val="0000FF"/>
        </w:rPr>
        <w:t xml:space="preserve"/>
      </w:r>
      <w:r>
        <w:rPr>
          <w:rStyle w:val="Character3"/>
          <w:sz w:val="24"/>
          <w:szCs w:val="24"/>
          <w:color w:val="0000FF"/>
        </w:rPr>
        <w:t xml:space="preserve"> 雜項支出</w:t>
      </w:r>
      <w:r>
        <w:rPr>
          <w:rStyle w:val="Character2"/>
          <w:sz w:val="24"/>
          <w:szCs w:val="24"/>
          <w:color w:val="000000"/>
        </w:rPr>
        <w:t>包含宿舍沐浴用燃</w:t>
      </w:r>
    </w:p>
    <w:p>
      <w:pPr>
        <w:pStyle w:val="Para13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料油、房屋稅、地價稅、營業稅、清潔用品費等。</w:t>
      </w:r>
    </w:p>
    <w:p>
      <w:pPr>
        <w:pStyle w:val="Para14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三、經費來源：請選擇</w:t>
      </w:r>
      <w:r>
        <w:rPr>
          <w:rStyle w:val="Character7"/>
          <w:sz w:val="24"/>
          <w:szCs w:val="24"/>
          <w:color w:val="800000"/>
        </w:rPr>
        <w:t>「學校款」</w:t>
      </w:r>
    </w:p>
    <w:sectPr>
      <w:pgSz w:w="13100" w:h="18522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1353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283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456" w:lineRule="exact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line="240" w:lineRule="exact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line="120" w:lineRule="exact"/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spacing w:line="274" w:lineRule="exact"/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spacing w:line="292" w:lineRule="exact"/>
      <w:jc w:val="left"/>
      <w:wordWrap w:val="false"/>
      <w:ind w:left="0"/>
      <w:widowControl w:val="false"/>
      <w:rPr/>
    </w:pPr>
  </w:style>
  <w:style w:type="paragraph" w:customStyle="1" w:styleId="Para8">
    <w:name w:val="ParaAttribute8"/>
    <w:pPr>
      <w:spacing w:line="269" w:lineRule="exact"/>
      <w:jc w:val="left"/>
      <w:wordWrap w:val="false"/>
      <w:ind w:left="0"/>
      <w:widowControl w:val="false"/>
      <w:rPr/>
    </w:pPr>
  </w:style>
  <w:style w:type="paragraph" w:customStyle="1" w:styleId="Para9">
    <w:name w:val="ParaAttribute9"/>
    <w:pPr>
      <w:spacing w:line="298" w:lineRule="exact"/>
      <w:jc w:val="left"/>
      <w:wordWrap w:val="false"/>
      <w:ind w:left="0"/>
      <w:widowControl w:val="false"/>
      <w:rPr/>
    </w:pPr>
  </w:style>
  <w:style w:type="paragraph" w:customStyle="1" w:styleId="Para10">
    <w:name w:val="ParaAttribute10"/>
    <w:pPr>
      <w:spacing w:line="91" w:lineRule="exact"/>
      <w:jc w:val="left"/>
      <w:wordWrap w:val="false"/>
      <w:ind w:left="0"/>
      <w:widowControl w:val="false"/>
      <w:rPr/>
    </w:pPr>
  </w:style>
  <w:style w:type="paragraph" w:customStyle="1" w:styleId="Para11">
    <w:name w:val="ParaAttribute11"/>
    <w:pPr>
      <w:spacing w:line="86" w:lineRule="exact"/>
      <w:jc w:val="left"/>
      <w:wordWrap w:val="false"/>
      <w:ind w:left="0"/>
      <w:widowControl w:val="false"/>
      <w:rPr/>
    </w:pPr>
  </w:style>
  <w:style w:type="paragraph" w:customStyle="1" w:styleId="Para12">
    <w:name w:val="ParaAttribute12"/>
    <w:pPr>
      <w:spacing w:line="268" w:lineRule="exact"/>
      <w:jc w:val="left"/>
      <w:wordWrap w:val="false"/>
      <w:ind w:left="0"/>
      <w:widowControl w:val="false"/>
      <w:rPr/>
    </w:pPr>
  </w:style>
  <w:style w:type="paragraph" w:customStyle="1" w:styleId="Para13">
    <w:name w:val="ParaAttribute13"/>
    <w:pPr>
      <w:spacing w:line="115" w:lineRule="exact"/>
      <w:jc w:val="left"/>
      <w:wordWrap w:val="false"/>
      <w:ind w:left="0"/>
      <w:widowControl w:val="false"/>
      <w:rPr/>
    </w:pPr>
  </w:style>
  <w:style w:type="paragraph" w:customStyle="1" w:styleId="Para14">
    <w:name w:val="ParaAttribute14"/>
    <w:pPr>
      <w:spacing w:line="480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¡Ps2OcuAe" w:eastAsia="¡Ps2OcuAe" w:hAnsi="¡Ps2OcuAe"/>
      <w:sz w:val="27"/>
    </w:rPr>
  </w:style>
  <w:style w:type="character" w:customStyle="1" w:styleId="Character2">
    <w:name w:val="CharAttribute2"/>
    <w:rPr>
      <w:rFonts w:ascii="¡Ps2OcuAe" w:eastAsia="¡Ps2OcuAe" w:hAnsi="¡Ps2OcuAe"/>
      <w:sz w:val="24"/>
    </w:rPr>
  </w:style>
  <w:style w:type="character" w:customStyle="1" w:styleId="Character3">
    <w:name w:val="CharAttribute3"/>
    <w:rPr>
      <w:rFonts w:ascii="¡Ps2OcuAe" w:eastAsia="¡Ps2OcuAe" w:hAnsi="¡Ps2OcuAe"/>
      <w:color w:val="0000FF"/>
      <w:sz w:val="24"/>
    </w:rPr>
  </w:style>
  <w:style w:type="character" w:customStyle="1" w:styleId="Character4">
    <w:name w:val="CharAttribute4"/>
    <w:rPr>
      <w:rFonts w:ascii="?D¡P¢FAe" w:eastAsia="?D¡P¢FAe" w:hAnsi="?D¡P¢FAe"/>
      <w:sz w:val="24"/>
    </w:rPr>
  </w:style>
  <w:style w:type="character" w:customStyle="1" w:styleId="Character5">
    <w:name w:val="CharAttribute5"/>
    <w:rPr>
      <w:rFonts w:ascii="Times New" w:eastAsia="Times New" w:hAnsi="Times New"/>
      <w:sz w:val="24"/>
    </w:rPr>
  </w:style>
  <w:style w:type="character" w:customStyle="1" w:styleId="Character6">
    <w:name w:val="CharAttribute6"/>
    <w:rPr>
      <w:rFonts w:ascii="¡Ps2OcuAe" w:eastAsia="¡Ps2OcuAe" w:hAnsi="¡Ps2OcuAe"/>
      <w:color w:val="FF0000"/>
      <w:sz w:val="24"/>
    </w:rPr>
  </w:style>
  <w:style w:type="character" w:customStyle="1" w:styleId="Character7">
    <w:name w:val="CharAttribute7"/>
    <w:rPr>
      <w:rFonts w:ascii="¡Ps2OcuAe" w:eastAsia="¡Ps2OcuAe" w:hAnsi="¡Ps2OcuAe"/>
      <w:color w:val="800000"/>
      <w:sz w:val="24"/>
    </w:rPr>
  </w:style>
  <w:style w:type="character" w:customStyle="1" w:styleId="Character8">
    <w:name w:val="CharAttribute8"/>
    <w:rPr>
      <w:rFonts w:ascii="Times New" w:eastAsia="Times New" w:hAnsi="Times New"/>
      <w:color w:val="FF00FF"/>
      <w:sz w:val="24"/>
    </w:rPr>
  </w:style>
  <w:style w:type="character" w:customStyle="1" w:styleId="Character9">
    <w:name w:val="CharAttribute9"/>
    <w:rPr>
      <w:rFonts w:ascii="¡Ps2OcuAe" w:eastAsia="¡Ps2OcuAe" w:hAnsi="¡Ps2OcuAe"/>
      <w:color w:val="FF00FF"/>
      <w:sz w:val="24"/>
    </w:rPr>
  </w:style>
  <w:style w:type="character" w:customStyle="1" w:styleId="Character10">
    <w:name w:val="CharAttribute10"/>
    <w:rPr>
      <w:rFonts w:ascii="Times New" w:eastAsia="Times New" w:hAnsi="Times New"/>
      <w:color w:val="003300"/>
      <w:sz w:val="24"/>
    </w:rPr>
  </w:style>
  <w:style w:type="character" w:customStyle="1" w:styleId="Character11">
    <w:name w:val="CharAttribute11"/>
    <w:rPr>
      <w:rFonts w:ascii="¡Ps2OcuAe" w:eastAsia="¡Ps2OcuAe" w:hAnsi="¡Ps2OcuAe"/>
      <w:color w:val="003300"/>
      <w:sz w:val="24"/>
    </w:rPr>
  </w:style>
  <w:style w:type="character" w:customStyle="1" w:styleId="Character12">
    <w:name w:val="CharAttribute12"/>
    <w:rPr>
      <w:rFonts w:ascii="Times New" w:eastAsia="Times New" w:hAnsi="Times New"/>
      <w:color w:val="0000FF"/>
      <w:sz w:val="24"/>
    </w:rPr>
  </w:style>
  <w:style w:type="character" w:customStyle="1" w:styleId="Character13">
    <w:name w:val="CharAttribute13"/>
    <w:rPr>
      <w:rFonts w:ascii="Times New" w:eastAsia="Times New" w:hAnsi="Times New"/>
      <w:color w:val="800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