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" type="#_x0000_t202" style="position:absolute;left:0;margin-left:287pt;margin-top:301pt;width:153pt;height:46pt;z-index:251624962;mso-wrap-style:none" filled="f" stroked="f">
            <v:textbox inset="0,0,0,0">
              <w:txbxContent>
                <w:p>
                  <w:pPr>
                    <w:pStyle w:val="Para9"/>
                  </w:pPr>
                  <w:r>
                    <w:rPr>
                      <w:rStyle w:val="Character3"/>
                      <w:sz w:val="24"/>
                      <w:szCs w:val="24"/>
                      <w:color w:val="000000"/>
                    </w:rPr>
                    <w:t>(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3"/>
                      <w:sz w:val="24"/>
                      <w:szCs w:val="24"/>
                      <w:color w:val="000000"/>
                    </w:rPr>
                    <w:t>)÷</w:t>
                  </w:r>
                </w:p>
                <w:p>
                  <w:pPr>
                    <w:pStyle w:val="Para10"/>
                  </w:pPr>
                </w:p>
                <w:p>
                  <w:pPr>
                    <w:pStyle w:val="Para9"/>
                  </w:pPr>
                  <w:r>
                    <w:rPr>
                      <w:rStyle w:val="Character3"/>
                      <w:sz w:val="24"/>
                      <w:szCs w:val="24"/>
                      <w:color w:val="000000"/>
                    </w:rPr>
                    <w:t>0</w:t>
                  </w:r>
                </w:p>
              </w:txbxContent>
            </v:textbox>
          </v:shape>
        </w:pict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財務比率分析</w:t>
      </w:r>
    </w:p>
    <w:p>
      <w:pPr>
        <w:pStyle w:val="Para3"/>
      </w:pPr>
    </w:p>
    <w:tbl>
      <w:tblPr>
        <w:tblStyle w:val="TableGrid"/>
        <w:tblW w:w="6729" w:type="dxa"/>
        <w:tblInd w:w="2731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62"/>
        <w:gridCol w:w="1651"/>
        <w:gridCol w:w="1646"/>
        <w:gridCol w:w="1651"/>
        <w:gridCol w:w="19"/>
      </w:tblGrid>
      <w:tr>
        <w:trPr>
          <w:trHeight w:val="566" w:hRule="exact"/>
        </w:trPr>
        <w:tc>
          <w:tcPr>
            <w:tcW w:w="176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 xml:space="preserve">                學年度</w:t>
            </w:r>
          </w:p>
        </w:tc>
        <w:tc>
          <w:tcPr>
            <w:tcW w:w="165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104</w:t>
            </w:r>
          </w:p>
        </w:tc>
        <w:tc>
          <w:tcPr>
            <w:tcW w:w="164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105</w:t>
            </w:r>
          </w:p>
        </w:tc>
        <w:tc>
          <w:tcPr>
            <w:tcW w:w="1670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106</w:t>
            </w:r>
          </w:p>
        </w:tc>
      </w:tr>
      <w:tr>
        <w:trPr>
          <w:trHeight w:val="566" w:hRule="exact"/>
        </w:trPr>
        <w:tc>
          <w:tcPr>
            <w:tcW w:w="176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流動比率(倍)</w:t>
            </w:r>
          </w:p>
        </w:tc>
        <w:tc>
          <w:tcPr>
            <w:tcW w:w="165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582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0.6</w:t>
            </w:r>
          </w:p>
        </w:tc>
        <w:tc>
          <w:tcPr>
            <w:tcW w:w="164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582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0.7</w:t>
            </w:r>
          </w:p>
        </w:tc>
        <w:tc>
          <w:tcPr>
            <w:tcW w:w="1670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582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1.4</w:t>
            </w:r>
          </w:p>
        </w:tc>
      </w:tr>
      <w:tr>
        <w:trPr>
          <w:trHeight w:val="566" w:hRule="exact"/>
        </w:trPr>
        <w:tc>
          <w:tcPr>
            <w:tcW w:w="176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速動比率(倍)</w:t>
            </w:r>
          </w:p>
        </w:tc>
        <w:tc>
          <w:tcPr>
            <w:tcW w:w="165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582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0.6</w:t>
            </w:r>
          </w:p>
        </w:tc>
        <w:tc>
          <w:tcPr>
            <w:tcW w:w="164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582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0.7</w:t>
            </w:r>
          </w:p>
        </w:tc>
        <w:tc>
          <w:tcPr>
            <w:tcW w:w="1670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582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1.3</w:t>
            </w:r>
          </w:p>
        </w:tc>
      </w:tr>
      <w:tr>
        <w:trPr>
          <w:trHeight w:val="566" w:hRule="exact"/>
        </w:trPr>
        <w:tc>
          <w:tcPr>
            <w:tcW w:w="176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淨值比率</w:t>
            </w:r>
          </w:p>
        </w:tc>
        <w:tc>
          <w:tcPr>
            <w:tcW w:w="165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83.0%</w:t>
            </w:r>
          </w:p>
        </w:tc>
        <w:tc>
          <w:tcPr>
            <w:tcW w:w="164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84.9%</w:t>
            </w:r>
          </w:p>
        </w:tc>
        <w:tc>
          <w:tcPr>
            <w:tcW w:w="1670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85.8%</w:t>
            </w:r>
          </w:p>
        </w:tc>
      </w:tr>
      <w:tr>
        <w:trPr>
          <w:trHeight w:val="566" w:hRule="exact"/>
        </w:trPr>
        <w:tc>
          <w:tcPr>
            <w:tcW w:w="176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負債比率</w:t>
            </w:r>
          </w:p>
        </w:tc>
        <w:tc>
          <w:tcPr>
            <w:tcW w:w="165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17.0%</w:t>
            </w:r>
          </w:p>
        </w:tc>
        <w:tc>
          <w:tcPr>
            <w:tcW w:w="164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15.1%</w:t>
            </w:r>
          </w:p>
        </w:tc>
        <w:tc>
          <w:tcPr>
            <w:tcW w:w="1670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14.2%</w:t>
            </w:r>
          </w:p>
        </w:tc>
      </w:tr>
      <w:tr>
        <w:trPr>
          <w:trHeight w:val="566" w:hRule="exact"/>
        </w:trPr>
        <w:tc>
          <w:tcPr>
            <w:tcW w:w="176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舉債指數</w:t>
            </w:r>
          </w:p>
        </w:tc>
        <w:tc>
          <w:tcPr>
            <w:tcW w:w="165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442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16.35</w:t>
            </w:r>
          </w:p>
        </w:tc>
        <w:tc>
          <w:tcPr>
            <w:tcW w:w="164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color w:val="FF0000"/>
                <w:sz w:val="24"/>
              </w:rPr>
              <w:t xml:space="preserve">-15.99 </w:t>
            </w:r>
          </w:p>
        </w:tc>
        <w:tc>
          <w:tcPr>
            <w:tcW w:w="165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522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9.49</w:t>
            </w:r>
          </w:p>
        </w:tc>
        <w:tc>
          <w:tcPr>
            <w:tcW w:w="19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4"/>
      </w:pPr>
    </w:p>
    <w:p>
      <w:pPr>
        <w:pStyle w:val="Para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說明：</w:t>
      </w:r>
    </w:p>
    <w:p>
      <w:pPr>
        <w:pStyle w:val="Para6"/>
      </w:pPr>
    </w:p>
    <w:p>
      <w:pPr>
        <w:pStyle w:val="Para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舉債指數＝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貨幣性負債－貨幣性資產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扣減</w:t>
      </w:r>
    </w:p>
    <w:p>
      <w:pPr>
        <w:pStyle w:val="Para7"/>
      </w:pPr>
    </w:p>
    <w:p>
      <w:pPr>
        <w:pStyle w:val="Para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不動產支出前現金餘絀，前項分子為負數時，</w:t>
      </w:r>
    </w:p>
    <w:p>
      <w:pPr>
        <w:pStyle w:val="Para8"/>
      </w:pPr>
    </w:p>
    <w:p>
      <w:pPr>
        <w:pStyle w:val="Para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舉債指數為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。</w:t>
      </w:r>
    </w:p>
    <w:sectPr>
      <w:pgSz w:w="13100" w:h="18522" w:orient="portrait" w:code="9"/>
      <w:pgMar w:top="0" w:right="0" w:bottom="0" w:left="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2Ocu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SimSun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SimSun" w:eastAsia="SimSun"/>
      <w:sz w:val="24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spacing w:line="1593" w:lineRule="exact"/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spacing w:line="279" w:lineRule="exact"/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spacing w:line="100" w:lineRule="exact"/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spacing w:line="340" w:lineRule="exact"/>
      <w:jc w:val="left"/>
      <w:wordWrap w:val="false"/>
      <w:ind w:left="0"/>
      <w:widowControl w:val="false"/>
      <w:rPr/>
    </w:pPr>
  </w:style>
  <w:style w:type="paragraph" w:customStyle="1" w:styleId="Para5">
    <w:name w:val="ParaAttribute5"/>
    <w:pPr>
      <w:spacing w:line="240" w:lineRule="exact"/>
      <w:jc w:val="left"/>
      <w:wordWrap w:val="false"/>
      <w:ind w:left="0"/>
      <w:widowControl w:val="false"/>
      <w:rPr/>
    </w:pPr>
  </w:style>
  <w:style w:type="paragraph" w:customStyle="1" w:styleId="Para6">
    <w:name w:val="ParaAttribute6"/>
    <w:pPr>
      <w:spacing w:line="91" w:lineRule="exact"/>
      <w:jc w:val="left"/>
      <w:wordWrap w:val="false"/>
      <w:ind w:left="0"/>
      <w:widowControl w:val="false"/>
      <w:rPr/>
    </w:pPr>
  </w:style>
  <w:style w:type="paragraph" w:customStyle="1" w:styleId="Para7">
    <w:name w:val="ParaAttribute7"/>
    <w:pPr>
      <w:spacing w:line="67" w:lineRule="exact"/>
      <w:jc w:val="left"/>
      <w:wordWrap w:val="false"/>
      <w:ind w:left="0"/>
      <w:widowControl w:val="false"/>
      <w:rPr/>
    </w:pPr>
  </w:style>
  <w:style w:type="paragraph" w:customStyle="1" w:styleId="Para8">
    <w:name w:val="ParaAttribute8"/>
    <w:pPr>
      <w:spacing w:line="72" w:lineRule="exact"/>
      <w:jc w:val="left"/>
      <w:wordWrap w:val="false"/>
      <w:ind w:left="0"/>
      <w:widowControl w:val="false"/>
      <w:rPr/>
    </w:pPr>
  </w:style>
  <w:style w:type="paragraph" w:customStyle="1" w:styleId="Para9">
    <w:name w:val="ParaAttribute9"/>
    <w:pPr>
      <w:spacing w:line="292" w:lineRule="exact"/>
      <w:jc w:val="left"/>
      <w:wordWrap w:val="false"/>
      <w:ind w:left="0"/>
      <w:widowControl w:val="false"/>
      <w:rPr/>
    </w:pPr>
  </w:style>
  <w:style w:type="paragraph" w:customStyle="1" w:styleId="Para10">
    <w:name w:val="ParaAttribute10"/>
    <w:pPr>
      <w:spacing w:line="332" w:lineRule="exact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Arial" w:hAnsi="Arial"/>
      <w:sz w:val="19"/>
    </w:rPr>
  </w:style>
  <w:style w:type="character" w:customStyle="1" w:styleId="Character1">
    <w:name w:val="CharAttribute1"/>
    <w:rPr>
      <w:rFonts w:ascii="¡Ps2OcuAe" w:eastAsia="¡Ps2OcuAe" w:hAnsi="¡Ps2OcuAe"/>
      <w:sz w:val="28"/>
    </w:rPr>
  </w:style>
  <w:style w:type="character" w:customStyle="1" w:styleId="Character2">
    <w:name w:val="CharAttribute2"/>
    <w:rPr>
      <w:rFonts w:ascii="2OcuAe" w:eastAsia="2OcuAe" w:hAnsi="2OcuAe"/>
      <w:sz w:val="24"/>
    </w:rPr>
  </w:style>
  <w:style w:type="character" w:customStyle="1" w:styleId="Character3">
    <w:name w:val="CharAttribute3"/>
    <w:rPr>
      <w:rFonts w:ascii="Verdana" w:eastAsia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0</CharactersWithSpaces>
  <SharedDoc>false</SharedDoc>
  <HyperlinksChanged>false</HyperlinksChanged>
  <Application>PDF Converter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2</cp:revision>
  <dcterms:created xsi:type="dcterms:W3CDTF">2012-08-21T07:17:39Z</dcterms:created>
  <dcterms:modified xsi:type="dcterms:W3CDTF">2012-08-21T07:17:39Z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