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4"/>
          <w:szCs w:val="24"/>
          <w:color w:val="000000"/>
        </w:rPr>
        <w:t>水電費支出</w:t>
      </w:r>
    </w:p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19"/>
          <w:szCs w:val="19"/>
          <w:color w:val="000000"/>
        </w:rPr>
        <w:t>單位：仟元</w:t>
      </w:r>
    </w:p>
    <w:p>
      <w:pPr>
        <w:pStyle w:val="Para4"/>
      </w:pPr>
    </w:p>
    <w:tbl>
      <w:tblPr>
        <w:tblStyle w:val="TableGrid"/>
        <w:tblW w:w="6728" w:type="dxa"/>
        <w:tblInd w:w="2731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83"/>
        <w:gridCol w:w="278"/>
        <w:gridCol w:w="1651"/>
        <w:gridCol w:w="1646"/>
        <w:gridCol w:w="1651"/>
        <w:gridCol w:w="19"/>
      </w:tblGrid>
      <w:tr>
        <w:trPr>
          <w:trHeight w:val="566" w:hRule="exact"/>
        </w:trPr>
        <w:tc>
          <w:tcPr>
            <w:tcW w:w="176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984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學年度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104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105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106</w:t>
            </w:r>
          </w:p>
        </w:tc>
      </w:tr>
      <w:tr>
        <w:trPr>
          <w:trHeight w:val="566" w:hRule="exact"/>
        </w:trPr>
        <w:tc>
          <w:tcPr>
            <w:tcW w:w="176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水電費支出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15,331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12,453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6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11,897</w:t>
            </w:r>
          </w:p>
        </w:tc>
      </w:tr>
      <w:tr>
        <w:trPr>
          <w:trHeight w:val="566" w:hRule="exact"/>
        </w:trPr>
        <w:tc>
          <w:tcPr>
            <w:tcW w:w="1761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18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平均每生支出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9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4.02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9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3.80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9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4.43</w:t>
            </w:r>
          </w:p>
        </w:tc>
      </w:tr>
      <w:tr>
        <w:trPr>
          <w:trHeight w:val="446" w:hRule="exact"/>
        </w:trPr>
        <w:tc>
          <w:tcPr>
            <w:tcW w:w="1761" w:type="dxa"/>
            <w:gridSpan w:val="2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38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平均每平方公尺</w:t>
            </w:r>
          </w:p>
        </w:tc>
        <w:tc>
          <w:tcPr>
            <w:tcW w:w="1651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9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0.18</w:t>
            </w:r>
          </w:p>
        </w:tc>
        <w:tc>
          <w:tcPr>
            <w:tcW w:w="1646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9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0.14</w:t>
            </w:r>
          </w:p>
        </w:tc>
        <w:tc>
          <w:tcPr>
            <w:tcW w:w="1670" w:type="dxa"/>
            <w:vMerge w:val="restart"/>
            <w:gridSpan w:val="2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964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0.14</w:t>
            </w:r>
          </w:p>
        </w:tc>
      </w:tr>
      <w:tr>
        <w:trPr>
          <w:trHeight w:val="346" w:hRule="exact"/>
        </w:trPr>
        <w:tc>
          <w:tcPr>
            <w:tcW w:w="1761" w:type="dxa"/>
            <w:gridSpan w:val="2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</w:tcPr>
          <w:p>
            <w:pPr>
              <w:spacing w:line="2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2"/>
              </w:rPr>
              <w:t>樓地板面積支出</w:t>
            </w:r>
          </w:p>
        </w:tc>
        <w:tc>
          <w:tcPr>
            <w:tcW w:w="1651" w:type="dxa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964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  <w:tc>
          <w:tcPr>
            <w:tcW w:w="1646" w:type="dxa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964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  <w:tc>
          <w:tcPr>
            <w:tcW w:w="1670" w:type="dxa"/>
            <w:vMerge/>
            <w:gridSpan w:val="2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540" w:lineRule="exact"/>
              <w:ind w:left="964" w:right="-100"/>
              <w:jc w:val="left"/>
              <w:rPr>
                <w:rFonts w:ascii="Verdana" w:hAnsi="Verdana" w:cstheme="Verdana"/>
              </w:rPr>
            </w:pPr>
            <w:rPr>
              <w:sz w:val="2"/>
            </w:rPr>
          </w:p>
        </w:tc>
      </w:tr>
      <w:tr>
        <w:trPr>
          <w:trHeight w:val="566" w:hRule="exact"/>
        </w:trPr>
        <w:tc>
          <w:tcPr>
            <w:tcW w:w="148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佔學雜費收入</w:t>
            </w:r>
          </w:p>
        </w:tc>
        <w:tc>
          <w:tcPr>
            <w:tcW w:w="278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%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5.4%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5.3%</w:t>
            </w:r>
          </w:p>
        </w:tc>
        <w:tc>
          <w:tcPr>
            <w:tcW w:w="1670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6.2%</w:t>
            </w:r>
          </w:p>
        </w:tc>
      </w:tr>
      <w:tr>
        <w:trPr>
          <w:trHeight w:val="566" w:hRule="exact"/>
        </w:trPr>
        <w:tc>
          <w:tcPr>
            <w:tcW w:w="148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40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佔經常門收入</w:t>
            </w:r>
          </w:p>
        </w:tc>
        <w:tc>
          <w:tcPr>
            <w:tcW w:w="278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%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3.2%</w:t>
            </w:r>
          </w:p>
        </w:tc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3.1%</w:t>
            </w:r>
          </w:p>
        </w:tc>
        <w:tc>
          <w:tcPr>
            <w:tcW w:w="165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2.9%</w:t>
            </w:r>
          </w:p>
        </w:tc>
        <w:tc>
          <w:tcPr>
            <w:tcW w:w="19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5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24"/>
          <w:szCs w:val="24"/>
          <w:color w:val="000000"/>
        </w:rPr>
        <w:t>說明：</w:t>
      </w:r>
    </w:p>
    <w:p>
      <w:pPr>
        <w:pStyle w:val="Para6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4"/>
          <w:szCs w:val="24"/>
          <w:color w:val="000000"/>
        </w:rPr>
        <w:t>平均每生係以每學年度3月份（第二學期）在</w:t>
      </w:r>
    </w:p>
    <w:p>
      <w:pPr>
        <w:pStyle w:val="Para7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4"/>
          <w:szCs w:val="24"/>
          <w:color w:val="000000"/>
        </w:rPr>
        <w:t>學學生人數為計算基礎。</w:t>
      </w:r>
    </w:p>
    <w:sectPr>
      <w:pgSz w:w="13100" w:h="18522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2OcuA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598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40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202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32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57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106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67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4"/>
    </w:rPr>
  </w:style>
  <w:style w:type="character" w:customStyle="1" w:styleId="Character2">
    <w:name w:val="CharAttribute2"/>
    <w:rPr>
      <w:rFonts w:ascii="¡Ps2OcuAe" w:eastAsia="¡Ps2OcuAe" w:hAnsi="¡Ps2OcuAe"/>
      <w:sz w:val="19"/>
    </w:rPr>
  </w:style>
  <w:style w:type="character" w:customStyle="1" w:styleId="Character3">
    <w:name w:val="CharAttribute3"/>
    <w:rPr>
      <w:rFonts w:ascii="2OcuAe" w:eastAsia="2OcuAe" w:hAnsi="2OcuA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